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86C2F" w14:textId="6F6F4712" w:rsidR="003A58CF" w:rsidRDefault="005C4CBE">
      <w:pPr>
        <w:widowControl/>
        <w:spacing w:line="600" w:lineRule="exact"/>
        <w:jc w:val="center"/>
        <w:rPr>
          <w:rFonts w:ascii="黑体" w:eastAsia="黑体" w:hAnsi="黑体" w:cs="黑体" w:hint="eastAsia"/>
          <w:b/>
          <w:bCs/>
          <w:spacing w:val="7"/>
          <w:kern w:val="0"/>
          <w:sz w:val="44"/>
          <w:szCs w:val="44"/>
          <w:lang w:bidi="he-IL"/>
        </w:rPr>
      </w:pPr>
      <w:r w:rsidRPr="005C4CBE">
        <w:rPr>
          <w:rFonts w:ascii="黑体" w:eastAsia="黑体" w:hAnsi="黑体" w:cs="黑体" w:hint="eastAsia"/>
          <w:b/>
          <w:bCs/>
          <w:spacing w:val="7"/>
          <w:kern w:val="0"/>
          <w:sz w:val="44"/>
          <w:szCs w:val="44"/>
          <w:lang w:bidi="he-IL"/>
        </w:rPr>
        <w:t>2024学年第1学期温州市中职学生学业水平测试《电子商务》考试大纲</w:t>
      </w:r>
    </w:p>
    <w:p w14:paraId="2EAAEC9D" w14:textId="77777777" w:rsidR="003A58CF" w:rsidRDefault="003A58CF">
      <w:pPr>
        <w:adjustRightInd w:val="0"/>
        <w:snapToGrid w:val="0"/>
        <w:spacing w:line="360" w:lineRule="auto"/>
        <w:ind w:firstLineChars="200" w:firstLine="560"/>
        <w:rPr>
          <w:rFonts w:ascii="宋体" w:hAnsi="宋体" w:hint="eastAsia"/>
          <w:bCs/>
          <w:sz w:val="28"/>
          <w:szCs w:val="28"/>
        </w:rPr>
      </w:pPr>
    </w:p>
    <w:p w14:paraId="6E441CF2" w14:textId="77777777" w:rsidR="003A58CF" w:rsidRDefault="00000000">
      <w:pPr>
        <w:adjustRightInd w:val="0"/>
        <w:snapToGrid w:val="0"/>
        <w:spacing w:line="560" w:lineRule="exact"/>
        <w:ind w:firstLineChars="200" w:firstLine="560"/>
        <w:rPr>
          <w:rFonts w:ascii="黑体" w:eastAsia="黑体" w:hAnsi="黑体" w:hint="eastAsia"/>
          <w:bCs/>
          <w:sz w:val="28"/>
          <w:szCs w:val="28"/>
        </w:rPr>
      </w:pPr>
      <w:r>
        <w:rPr>
          <w:rFonts w:ascii="黑体" w:eastAsia="黑体" w:hAnsi="黑体" w:hint="eastAsia"/>
          <w:bCs/>
          <w:sz w:val="28"/>
          <w:szCs w:val="28"/>
        </w:rPr>
        <w:t>一、考试性质与对象</w:t>
      </w:r>
    </w:p>
    <w:p w14:paraId="46176EEB"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宋体" w:hAnsi="宋体" w:hint="eastAsia"/>
          <w:bCs/>
          <w:sz w:val="28"/>
          <w:szCs w:val="28"/>
        </w:rPr>
        <w:t>本课程考试性质是测试温州市中等职业学校电子商务类专业的核心课程《商品仓储物流》、《网络营销》和《网店开设》是否达到教学目标（按教学计划开课，按教学大纲和教材进行教学），它是检查、评价教学质量的一种手段，也是考核中职学校电子商务类专业学生基础学习是否达到教学大纲规定的基本要求的重要手段。</w:t>
      </w:r>
    </w:p>
    <w:p w14:paraId="0C0702B8"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宋体" w:hAnsi="宋体" w:hint="eastAsia"/>
          <w:bCs/>
          <w:sz w:val="28"/>
          <w:szCs w:val="28"/>
        </w:rPr>
        <w:t>考试对象为电子商务专业2023级学生。</w:t>
      </w:r>
    </w:p>
    <w:p w14:paraId="03FFFC0D"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黑体" w:eastAsia="黑体" w:hAnsi="黑体" w:hint="eastAsia"/>
          <w:bCs/>
          <w:sz w:val="28"/>
          <w:szCs w:val="28"/>
        </w:rPr>
        <w:t>二、考试形式与时间</w:t>
      </w:r>
    </w:p>
    <w:p w14:paraId="0E7542D6"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宋体" w:hAnsi="宋体" w:hint="eastAsia"/>
          <w:bCs/>
          <w:sz w:val="28"/>
          <w:szCs w:val="28"/>
        </w:rPr>
        <w:t>1.考试形式：闭卷、笔试形式。</w:t>
      </w:r>
    </w:p>
    <w:p w14:paraId="4391C37D"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宋体" w:hAnsi="宋体" w:hint="eastAsia"/>
          <w:bCs/>
          <w:sz w:val="28"/>
          <w:szCs w:val="28"/>
        </w:rPr>
        <w:t>2.考试时间：90分钟</w:t>
      </w:r>
    </w:p>
    <w:p w14:paraId="4A0571A5" w14:textId="77777777" w:rsidR="003A58CF" w:rsidRDefault="00000000">
      <w:pPr>
        <w:adjustRightInd w:val="0"/>
        <w:snapToGrid w:val="0"/>
        <w:spacing w:line="560" w:lineRule="exact"/>
        <w:ind w:firstLineChars="200" w:firstLine="560"/>
        <w:rPr>
          <w:rFonts w:ascii="黑体" w:eastAsia="黑体" w:hAnsi="黑体" w:hint="eastAsia"/>
          <w:bCs/>
          <w:sz w:val="28"/>
          <w:szCs w:val="28"/>
        </w:rPr>
      </w:pPr>
      <w:r>
        <w:rPr>
          <w:rFonts w:ascii="黑体" w:eastAsia="黑体" w:hAnsi="黑体" w:hint="eastAsia"/>
          <w:bCs/>
          <w:sz w:val="28"/>
          <w:szCs w:val="28"/>
        </w:rPr>
        <w:t>三、命题原则与试卷结构</w:t>
      </w:r>
    </w:p>
    <w:p w14:paraId="4DE59B9C"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黑体" w:eastAsia="黑体" w:hAnsi="黑体" w:hint="eastAsia"/>
          <w:bCs/>
          <w:sz w:val="28"/>
          <w:szCs w:val="28"/>
        </w:rPr>
        <w:t>（一）命题原则</w:t>
      </w:r>
    </w:p>
    <w:p w14:paraId="7C8F9340"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宋体" w:hAnsi="宋体" w:hint="eastAsia"/>
          <w:bCs/>
          <w:sz w:val="28"/>
          <w:szCs w:val="28"/>
        </w:rPr>
        <w:t>以浙江省中等职业教育电子商务专业课程改革成果教材《商品仓储物流》、《网络营销》和《网店开设》为蓝本，并参考浙江省高职单考单招电子商务专业考试大纲，确定《商品仓储物流》、《网络营销》和《网店开设》三门课程的学业水平测试考试命题内容。</w:t>
      </w:r>
    </w:p>
    <w:p w14:paraId="2B10E773" w14:textId="77777777" w:rsidR="003A58CF" w:rsidRDefault="00000000">
      <w:pPr>
        <w:adjustRightInd w:val="0"/>
        <w:snapToGrid w:val="0"/>
        <w:spacing w:line="560" w:lineRule="exact"/>
        <w:ind w:firstLineChars="200" w:firstLine="560"/>
        <w:rPr>
          <w:rFonts w:ascii="黑体" w:eastAsia="黑体" w:hAnsi="黑体" w:hint="eastAsia"/>
          <w:bCs/>
          <w:sz w:val="28"/>
          <w:szCs w:val="28"/>
        </w:rPr>
      </w:pPr>
      <w:r>
        <w:rPr>
          <w:rFonts w:ascii="黑体" w:eastAsia="黑体" w:hAnsi="黑体" w:hint="eastAsia"/>
          <w:bCs/>
          <w:sz w:val="28"/>
          <w:szCs w:val="28"/>
        </w:rPr>
        <w:t>（二）试卷组成及配分比值</w:t>
      </w:r>
    </w:p>
    <w:p w14:paraId="428C0184" w14:textId="77777777" w:rsidR="003A58CF" w:rsidRDefault="00000000">
      <w:pPr>
        <w:adjustRightInd w:val="0"/>
        <w:snapToGrid w:val="0"/>
        <w:spacing w:line="560" w:lineRule="exact"/>
        <w:ind w:firstLineChars="200" w:firstLine="560"/>
        <w:rPr>
          <w:rFonts w:ascii="宋体" w:hAnsi="宋体" w:hint="eastAsia"/>
          <w:bCs/>
          <w:sz w:val="28"/>
          <w:szCs w:val="28"/>
        </w:rPr>
      </w:pPr>
      <w:r>
        <w:rPr>
          <w:rFonts w:ascii="宋体" w:hAnsi="宋体" w:hint="eastAsia"/>
          <w:bCs/>
          <w:sz w:val="28"/>
          <w:szCs w:val="28"/>
        </w:rPr>
        <w:t>试卷由《商品仓储物流》、《网络营销》和《网店开设》三门专业课程内容共同组成，分值比为35%：35%：30%，试题难易适中，配分比例为基础题约80%，中等难度题约12%，较难题约8%。</w:t>
      </w:r>
    </w:p>
    <w:p w14:paraId="1022FD86" w14:textId="77777777" w:rsidR="003A58CF" w:rsidRDefault="003A58CF">
      <w:pPr>
        <w:adjustRightInd w:val="0"/>
        <w:snapToGrid w:val="0"/>
        <w:spacing w:line="360" w:lineRule="auto"/>
        <w:ind w:firstLineChars="200" w:firstLine="560"/>
        <w:rPr>
          <w:rFonts w:ascii="宋体" w:hAnsi="宋体" w:hint="eastAsia"/>
          <w:bCs/>
          <w:sz w:val="28"/>
          <w:szCs w:val="28"/>
        </w:rPr>
      </w:pPr>
    </w:p>
    <w:p w14:paraId="2964A59E" w14:textId="77777777" w:rsidR="003A58CF" w:rsidRDefault="003A58CF">
      <w:pPr>
        <w:adjustRightInd w:val="0"/>
        <w:snapToGrid w:val="0"/>
        <w:spacing w:line="360" w:lineRule="auto"/>
        <w:ind w:firstLineChars="200" w:firstLine="560"/>
        <w:rPr>
          <w:rFonts w:ascii="宋体" w:hAnsi="宋体" w:hint="eastAsia"/>
          <w:bCs/>
          <w:sz w:val="28"/>
          <w:szCs w:val="28"/>
        </w:rPr>
      </w:pPr>
    </w:p>
    <w:p w14:paraId="1532711F" w14:textId="77777777" w:rsidR="003A58CF" w:rsidRDefault="00000000">
      <w:pPr>
        <w:adjustRightInd w:val="0"/>
        <w:snapToGrid w:val="0"/>
        <w:spacing w:line="360" w:lineRule="auto"/>
        <w:ind w:firstLineChars="200" w:firstLine="560"/>
        <w:rPr>
          <w:rFonts w:ascii="黑体" w:eastAsia="黑体" w:hAnsi="黑体" w:hint="eastAsia"/>
          <w:bCs/>
          <w:sz w:val="28"/>
          <w:szCs w:val="28"/>
        </w:rPr>
      </w:pPr>
      <w:r>
        <w:rPr>
          <w:rFonts w:ascii="黑体" w:eastAsia="黑体" w:hAnsi="黑体" w:hint="eastAsia"/>
          <w:bCs/>
          <w:sz w:val="28"/>
          <w:szCs w:val="28"/>
        </w:rPr>
        <w:lastRenderedPageBreak/>
        <w:t>（三）考试题型及分值分配</w:t>
      </w:r>
    </w:p>
    <w:tbl>
      <w:tblPr>
        <w:tblW w:w="0" w:type="auto"/>
        <w:jc w:val="center"/>
        <w:tblLayout w:type="fixed"/>
        <w:tblCellMar>
          <w:left w:w="15" w:type="dxa"/>
          <w:right w:w="15" w:type="dxa"/>
        </w:tblCellMar>
        <w:tblLook w:val="04A0" w:firstRow="1" w:lastRow="0" w:firstColumn="1" w:lastColumn="0" w:noHBand="0" w:noVBand="1"/>
      </w:tblPr>
      <w:tblGrid>
        <w:gridCol w:w="2020"/>
        <w:gridCol w:w="1654"/>
        <w:gridCol w:w="2220"/>
        <w:gridCol w:w="2706"/>
      </w:tblGrid>
      <w:tr w:rsidR="003A58CF" w14:paraId="25591772" w14:textId="77777777">
        <w:trPr>
          <w:trHeight w:val="361"/>
          <w:jc w:val="center"/>
        </w:trPr>
        <w:tc>
          <w:tcPr>
            <w:tcW w:w="2020" w:type="dxa"/>
            <w:vMerge w:val="restart"/>
            <w:tcBorders>
              <w:top w:val="single" w:sz="4" w:space="0" w:color="000000"/>
              <w:left w:val="single" w:sz="4" w:space="0" w:color="000000"/>
              <w:bottom w:val="single" w:sz="4" w:space="0" w:color="000000"/>
              <w:right w:val="single" w:sz="4" w:space="0" w:color="000000"/>
            </w:tcBorders>
            <w:vAlign w:val="center"/>
          </w:tcPr>
          <w:p w14:paraId="4B2A7A1E" w14:textId="77777777" w:rsidR="003A58CF" w:rsidRDefault="00000000">
            <w:pPr>
              <w:widowControl/>
              <w:spacing w:line="360" w:lineRule="auto"/>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题型</w:t>
            </w:r>
          </w:p>
        </w:tc>
        <w:tc>
          <w:tcPr>
            <w:tcW w:w="1654" w:type="dxa"/>
            <w:vMerge w:val="restart"/>
            <w:tcBorders>
              <w:top w:val="single" w:sz="4" w:space="0" w:color="000000"/>
              <w:left w:val="nil"/>
              <w:bottom w:val="single" w:sz="4" w:space="0" w:color="000000"/>
              <w:right w:val="single" w:sz="4" w:space="0" w:color="000000"/>
            </w:tcBorders>
            <w:vAlign w:val="center"/>
          </w:tcPr>
          <w:p w14:paraId="379BB228"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题量（型）</w:t>
            </w:r>
          </w:p>
        </w:tc>
        <w:tc>
          <w:tcPr>
            <w:tcW w:w="4926" w:type="dxa"/>
            <w:gridSpan w:val="2"/>
            <w:tcBorders>
              <w:top w:val="single" w:sz="4" w:space="0" w:color="000000"/>
              <w:left w:val="nil"/>
              <w:bottom w:val="single" w:sz="4" w:space="0" w:color="000000"/>
              <w:right w:val="single" w:sz="4" w:space="0" w:color="000000"/>
            </w:tcBorders>
            <w:vAlign w:val="center"/>
          </w:tcPr>
          <w:p w14:paraId="6B0E7987"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分    值</w:t>
            </w:r>
          </w:p>
        </w:tc>
      </w:tr>
      <w:tr w:rsidR="003A58CF" w14:paraId="1DF5614D" w14:textId="77777777">
        <w:trPr>
          <w:trHeight w:val="361"/>
          <w:jc w:val="center"/>
        </w:trPr>
        <w:tc>
          <w:tcPr>
            <w:tcW w:w="2020" w:type="dxa"/>
            <w:vMerge/>
            <w:tcBorders>
              <w:top w:val="single" w:sz="4" w:space="0" w:color="000000"/>
              <w:left w:val="single" w:sz="4" w:space="0" w:color="000000"/>
              <w:bottom w:val="single" w:sz="4" w:space="0" w:color="000000"/>
              <w:right w:val="single" w:sz="4" w:space="0" w:color="000000"/>
            </w:tcBorders>
            <w:vAlign w:val="center"/>
          </w:tcPr>
          <w:p w14:paraId="65E53D5D" w14:textId="77777777" w:rsidR="003A58CF" w:rsidRDefault="003A58CF">
            <w:pPr>
              <w:widowControl/>
              <w:spacing w:line="360" w:lineRule="auto"/>
              <w:ind w:left="17" w:firstLine="231"/>
              <w:jc w:val="center"/>
              <w:rPr>
                <w:rFonts w:ascii="宋体" w:hAnsi="宋体" w:cs="宋体" w:hint="eastAsia"/>
                <w:color w:val="000000"/>
                <w:spacing w:val="7"/>
                <w:kern w:val="0"/>
                <w:sz w:val="28"/>
                <w:szCs w:val="28"/>
              </w:rPr>
            </w:pPr>
          </w:p>
        </w:tc>
        <w:tc>
          <w:tcPr>
            <w:tcW w:w="1654" w:type="dxa"/>
            <w:vMerge/>
            <w:tcBorders>
              <w:top w:val="single" w:sz="4" w:space="0" w:color="000000"/>
              <w:left w:val="nil"/>
              <w:bottom w:val="single" w:sz="4" w:space="0" w:color="000000"/>
              <w:right w:val="single" w:sz="4" w:space="0" w:color="000000"/>
            </w:tcBorders>
            <w:vAlign w:val="center"/>
          </w:tcPr>
          <w:p w14:paraId="26700788" w14:textId="77777777" w:rsidR="003A58CF" w:rsidRDefault="003A58CF">
            <w:pPr>
              <w:widowControl/>
              <w:spacing w:line="360" w:lineRule="auto"/>
              <w:ind w:left="17" w:firstLine="231"/>
              <w:jc w:val="center"/>
              <w:rPr>
                <w:rFonts w:ascii="宋体" w:hAnsi="宋体" w:cs="宋体" w:hint="eastAsia"/>
                <w:color w:val="000000"/>
                <w:spacing w:val="7"/>
                <w:kern w:val="0"/>
                <w:sz w:val="28"/>
                <w:szCs w:val="28"/>
              </w:rPr>
            </w:pPr>
          </w:p>
        </w:tc>
        <w:tc>
          <w:tcPr>
            <w:tcW w:w="2220" w:type="dxa"/>
            <w:tcBorders>
              <w:top w:val="single" w:sz="4" w:space="0" w:color="000000"/>
              <w:left w:val="nil"/>
              <w:bottom w:val="single" w:sz="4" w:space="0" w:color="000000"/>
              <w:right w:val="single" w:sz="4" w:space="0" w:color="000000"/>
            </w:tcBorders>
            <w:vAlign w:val="center"/>
          </w:tcPr>
          <w:p w14:paraId="32DDB1B7"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每小题分数</w:t>
            </w:r>
          </w:p>
        </w:tc>
        <w:tc>
          <w:tcPr>
            <w:tcW w:w="2706" w:type="dxa"/>
            <w:tcBorders>
              <w:top w:val="single" w:sz="4" w:space="0" w:color="000000"/>
              <w:left w:val="nil"/>
              <w:bottom w:val="single" w:sz="4" w:space="0" w:color="000000"/>
              <w:right w:val="single" w:sz="4" w:space="0" w:color="000000"/>
            </w:tcBorders>
            <w:vAlign w:val="center"/>
          </w:tcPr>
          <w:p w14:paraId="7DF793FE"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小计</w:t>
            </w:r>
          </w:p>
        </w:tc>
      </w:tr>
      <w:tr w:rsidR="003A58CF" w14:paraId="5CA8A403"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69A27B58"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单项选择题</w:t>
            </w:r>
          </w:p>
        </w:tc>
        <w:tc>
          <w:tcPr>
            <w:tcW w:w="1654" w:type="dxa"/>
            <w:tcBorders>
              <w:top w:val="single" w:sz="4" w:space="0" w:color="000000"/>
              <w:left w:val="nil"/>
              <w:bottom w:val="single" w:sz="4" w:space="0" w:color="000000"/>
              <w:right w:val="single" w:sz="4" w:space="0" w:color="000000"/>
            </w:tcBorders>
            <w:vAlign w:val="center"/>
          </w:tcPr>
          <w:p w14:paraId="1962DDE6"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20小题</w:t>
            </w:r>
          </w:p>
        </w:tc>
        <w:tc>
          <w:tcPr>
            <w:tcW w:w="2220" w:type="dxa"/>
            <w:tcBorders>
              <w:top w:val="single" w:sz="4" w:space="0" w:color="000000"/>
              <w:left w:val="nil"/>
              <w:bottom w:val="single" w:sz="4" w:space="0" w:color="000000"/>
              <w:right w:val="single" w:sz="4" w:space="0" w:color="000000"/>
            </w:tcBorders>
            <w:vAlign w:val="center"/>
          </w:tcPr>
          <w:p w14:paraId="00E78EDC"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w:t>
            </w:r>
          </w:p>
        </w:tc>
        <w:tc>
          <w:tcPr>
            <w:tcW w:w="2706" w:type="dxa"/>
            <w:tcBorders>
              <w:top w:val="single" w:sz="4" w:space="0" w:color="000000"/>
              <w:left w:val="nil"/>
              <w:bottom w:val="single" w:sz="4" w:space="0" w:color="000000"/>
              <w:right w:val="single" w:sz="4" w:space="0" w:color="000000"/>
            </w:tcBorders>
            <w:vAlign w:val="center"/>
          </w:tcPr>
          <w:p w14:paraId="4E603A47"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40</w:t>
            </w:r>
          </w:p>
        </w:tc>
      </w:tr>
      <w:tr w:rsidR="003A58CF" w14:paraId="13C7B3FE"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4CA8F3CF"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判断题</w:t>
            </w:r>
          </w:p>
        </w:tc>
        <w:tc>
          <w:tcPr>
            <w:tcW w:w="1654" w:type="dxa"/>
            <w:tcBorders>
              <w:top w:val="single" w:sz="4" w:space="0" w:color="000000"/>
              <w:left w:val="nil"/>
              <w:bottom w:val="single" w:sz="4" w:space="0" w:color="000000"/>
              <w:right w:val="single" w:sz="4" w:space="0" w:color="000000"/>
            </w:tcBorders>
            <w:vAlign w:val="center"/>
          </w:tcPr>
          <w:p w14:paraId="089E3B8C"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10小题</w:t>
            </w:r>
          </w:p>
        </w:tc>
        <w:tc>
          <w:tcPr>
            <w:tcW w:w="2220" w:type="dxa"/>
            <w:tcBorders>
              <w:top w:val="single" w:sz="4" w:space="0" w:color="000000"/>
              <w:left w:val="nil"/>
              <w:bottom w:val="single" w:sz="4" w:space="0" w:color="000000"/>
              <w:right w:val="single" w:sz="4" w:space="0" w:color="000000"/>
            </w:tcBorders>
            <w:vAlign w:val="center"/>
          </w:tcPr>
          <w:p w14:paraId="395F1A30"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w:t>
            </w:r>
          </w:p>
        </w:tc>
        <w:tc>
          <w:tcPr>
            <w:tcW w:w="2706" w:type="dxa"/>
            <w:tcBorders>
              <w:top w:val="single" w:sz="4" w:space="0" w:color="000000"/>
              <w:left w:val="nil"/>
              <w:bottom w:val="single" w:sz="4" w:space="0" w:color="000000"/>
              <w:right w:val="single" w:sz="4" w:space="0" w:color="000000"/>
            </w:tcBorders>
            <w:vAlign w:val="center"/>
          </w:tcPr>
          <w:p w14:paraId="107C8359"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20</w:t>
            </w:r>
          </w:p>
        </w:tc>
      </w:tr>
      <w:tr w:rsidR="003A58CF" w14:paraId="777F2A94"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6F50D5C3"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填空</w:t>
            </w:r>
          </w:p>
        </w:tc>
        <w:tc>
          <w:tcPr>
            <w:tcW w:w="1654" w:type="dxa"/>
            <w:tcBorders>
              <w:top w:val="single" w:sz="4" w:space="0" w:color="000000"/>
              <w:left w:val="nil"/>
              <w:bottom w:val="single" w:sz="4" w:space="0" w:color="000000"/>
              <w:right w:val="single" w:sz="4" w:space="0" w:color="000000"/>
            </w:tcBorders>
            <w:vAlign w:val="center"/>
          </w:tcPr>
          <w:p w14:paraId="0B25866A"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10小题</w:t>
            </w:r>
          </w:p>
        </w:tc>
        <w:tc>
          <w:tcPr>
            <w:tcW w:w="2220" w:type="dxa"/>
            <w:tcBorders>
              <w:top w:val="single" w:sz="4" w:space="0" w:color="000000"/>
              <w:left w:val="nil"/>
              <w:bottom w:val="single" w:sz="4" w:space="0" w:color="000000"/>
              <w:right w:val="single" w:sz="4" w:space="0" w:color="000000"/>
            </w:tcBorders>
            <w:vAlign w:val="center"/>
          </w:tcPr>
          <w:p w14:paraId="39A24BA0"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w:t>
            </w:r>
          </w:p>
        </w:tc>
        <w:tc>
          <w:tcPr>
            <w:tcW w:w="2706" w:type="dxa"/>
            <w:tcBorders>
              <w:top w:val="single" w:sz="4" w:space="0" w:color="000000"/>
              <w:left w:val="nil"/>
              <w:bottom w:val="single" w:sz="4" w:space="0" w:color="000000"/>
              <w:right w:val="single" w:sz="4" w:space="0" w:color="000000"/>
            </w:tcBorders>
            <w:vAlign w:val="center"/>
          </w:tcPr>
          <w:p w14:paraId="223C1F08"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10</w:t>
            </w:r>
          </w:p>
        </w:tc>
      </w:tr>
      <w:tr w:rsidR="003A58CF" w14:paraId="70120BB6"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64916434"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配对题</w:t>
            </w:r>
          </w:p>
        </w:tc>
        <w:tc>
          <w:tcPr>
            <w:tcW w:w="1654" w:type="dxa"/>
            <w:tcBorders>
              <w:top w:val="single" w:sz="4" w:space="0" w:color="000000"/>
              <w:left w:val="nil"/>
              <w:bottom w:val="single" w:sz="4" w:space="0" w:color="000000"/>
              <w:right w:val="single" w:sz="4" w:space="0" w:color="000000"/>
            </w:tcBorders>
            <w:vAlign w:val="center"/>
          </w:tcPr>
          <w:p w14:paraId="38BE0338"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2小题</w:t>
            </w:r>
          </w:p>
        </w:tc>
        <w:tc>
          <w:tcPr>
            <w:tcW w:w="2220" w:type="dxa"/>
            <w:tcBorders>
              <w:top w:val="single" w:sz="4" w:space="0" w:color="000000"/>
              <w:left w:val="nil"/>
              <w:bottom w:val="single" w:sz="4" w:space="0" w:color="000000"/>
              <w:right w:val="single" w:sz="4" w:space="0" w:color="000000"/>
            </w:tcBorders>
            <w:vAlign w:val="center"/>
          </w:tcPr>
          <w:p w14:paraId="6C8E5D7F"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5</w:t>
            </w:r>
          </w:p>
        </w:tc>
        <w:tc>
          <w:tcPr>
            <w:tcW w:w="2706" w:type="dxa"/>
            <w:tcBorders>
              <w:top w:val="single" w:sz="4" w:space="0" w:color="000000"/>
              <w:left w:val="nil"/>
              <w:bottom w:val="single" w:sz="4" w:space="0" w:color="000000"/>
              <w:right w:val="single" w:sz="4" w:space="0" w:color="000000"/>
            </w:tcBorders>
            <w:vAlign w:val="center"/>
          </w:tcPr>
          <w:p w14:paraId="2CA5CF64"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10</w:t>
            </w:r>
          </w:p>
        </w:tc>
      </w:tr>
      <w:tr w:rsidR="003A58CF" w14:paraId="0EE23266"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7F5843E4"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综合运用题</w:t>
            </w:r>
          </w:p>
        </w:tc>
        <w:tc>
          <w:tcPr>
            <w:tcW w:w="1654" w:type="dxa"/>
            <w:tcBorders>
              <w:top w:val="single" w:sz="4" w:space="0" w:color="000000"/>
              <w:left w:val="nil"/>
              <w:bottom w:val="single" w:sz="4" w:space="0" w:color="000000"/>
              <w:right w:val="single" w:sz="4" w:space="0" w:color="000000"/>
            </w:tcBorders>
            <w:vAlign w:val="center"/>
          </w:tcPr>
          <w:p w14:paraId="78318EEA"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2小题</w:t>
            </w:r>
          </w:p>
        </w:tc>
        <w:tc>
          <w:tcPr>
            <w:tcW w:w="2220" w:type="dxa"/>
            <w:tcBorders>
              <w:top w:val="single" w:sz="4" w:space="0" w:color="000000"/>
              <w:left w:val="nil"/>
              <w:bottom w:val="single" w:sz="4" w:space="0" w:color="000000"/>
              <w:right w:val="single" w:sz="4" w:space="0" w:color="000000"/>
            </w:tcBorders>
            <w:vAlign w:val="center"/>
          </w:tcPr>
          <w:p w14:paraId="2044A869"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10</w:t>
            </w:r>
          </w:p>
        </w:tc>
        <w:tc>
          <w:tcPr>
            <w:tcW w:w="2706" w:type="dxa"/>
            <w:tcBorders>
              <w:top w:val="single" w:sz="4" w:space="0" w:color="000000"/>
              <w:left w:val="nil"/>
              <w:bottom w:val="single" w:sz="4" w:space="0" w:color="000000"/>
              <w:right w:val="single" w:sz="4" w:space="0" w:color="000000"/>
            </w:tcBorders>
            <w:vAlign w:val="center"/>
          </w:tcPr>
          <w:p w14:paraId="04FD924C"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20</w:t>
            </w:r>
          </w:p>
        </w:tc>
      </w:tr>
      <w:tr w:rsidR="003A58CF" w14:paraId="7B2381E5" w14:textId="77777777">
        <w:trPr>
          <w:trHeight w:val="372"/>
          <w:jc w:val="center"/>
        </w:trPr>
        <w:tc>
          <w:tcPr>
            <w:tcW w:w="3674" w:type="dxa"/>
            <w:gridSpan w:val="2"/>
            <w:tcBorders>
              <w:top w:val="single" w:sz="4" w:space="0" w:color="000000"/>
              <w:left w:val="single" w:sz="4" w:space="0" w:color="000000"/>
              <w:bottom w:val="single" w:sz="4" w:space="0" w:color="000000"/>
              <w:right w:val="single" w:sz="4" w:space="0" w:color="000000"/>
            </w:tcBorders>
            <w:vAlign w:val="center"/>
          </w:tcPr>
          <w:p w14:paraId="16B41CCB"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合  计</w:t>
            </w:r>
          </w:p>
        </w:tc>
        <w:tc>
          <w:tcPr>
            <w:tcW w:w="2220" w:type="dxa"/>
            <w:tcBorders>
              <w:top w:val="single" w:sz="4" w:space="0" w:color="000000"/>
              <w:left w:val="nil"/>
              <w:bottom w:val="single" w:sz="4" w:space="0" w:color="000000"/>
              <w:right w:val="single" w:sz="4" w:space="0" w:color="000000"/>
            </w:tcBorders>
            <w:vAlign w:val="center"/>
          </w:tcPr>
          <w:p w14:paraId="16C151E5" w14:textId="77777777" w:rsidR="003A58CF" w:rsidRDefault="003A58CF">
            <w:pPr>
              <w:widowControl/>
              <w:spacing w:line="360" w:lineRule="auto"/>
              <w:ind w:left="17" w:firstLine="231"/>
              <w:jc w:val="center"/>
              <w:rPr>
                <w:rFonts w:ascii="宋体" w:hAnsi="宋体" w:cs="宋体" w:hint="eastAsia"/>
                <w:color w:val="000000"/>
                <w:spacing w:val="7"/>
                <w:kern w:val="0"/>
                <w:sz w:val="28"/>
                <w:szCs w:val="28"/>
              </w:rPr>
            </w:pPr>
          </w:p>
        </w:tc>
        <w:tc>
          <w:tcPr>
            <w:tcW w:w="2706" w:type="dxa"/>
            <w:tcBorders>
              <w:top w:val="single" w:sz="4" w:space="0" w:color="000000"/>
              <w:left w:val="nil"/>
              <w:bottom w:val="single" w:sz="4" w:space="0" w:color="000000"/>
              <w:right w:val="single" w:sz="4" w:space="0" w:color="000000"/>
            </w:tcBorders>
            <w:vAlign w:val="center"/>
          </w:tcPr>
          <w:p w14:paraId="116F6FDF" w14:textId="77777777" w:rsidR="003A58CF" w:rsidRDefault="00000000">
            <w:pPr>
              <w:widowControl/>
              <w:spacing w:line="360" w:lineRule="auto"/>
              <w:ind w:left="17" w:firstLine="231"/>
              <w:jc w:val="center"/>
              <w:rPr>
                <w:rFonts w:ascii="宋体" w:hAnsi="宋体" w:cs="宋体" w:hint="eastAsia"/>
                <w:color w:val="000000"/>
                <w:spacing w:val="7"/>
                <w:kern w:val="0"/>
                <w:sz w:val="28"/>
                <w:szCs w:val="28"/>
              </w:rPr>
            </w:pPr>
            <w:r>
              <w:rPr>
                <w:rFonts w:ascii="宋体" w:hAnsi="宋体" w:cs="宋体" w:hint="eastAsia"/>
                <w:color w:val="000000"/>
                <w:spacing w:val="7"/>
                <w:kern w:val="0"/>
                <w:sz w:val="28"/>
                <w:szCs w:val="28"/>
              </w:rPr>
              <w:t>100</w:t>
            </w:r>
          </w:p>
        </w:tc>
      </w:tr>
    </w:tbl>
    <w:p w14:paraId="1C3B1DC3" w14:textId="77777777" w:rsidR="003A58CF" w:rsidRDefault="003A58CF">
      <w:pPr>
        <w:adjustRightInd w:val="0"/>
        <w:snapToGrid w:val="0"/>
        <w:spacing w:line="360" w:lineRule="auto"/>
        <w:ind w:firstLineChars="200" w:firstLine="560"/>
        <w:rPr>
          <w:rFonts w:ascii="黑体" w:eastAsia="黑体" w:hAnsi="黑体" w:hint="eastAsia"/>
          <w:bCs/>
          <w:sz w:val="28"/>
          <w:szCs w:val="28"/>
        </w:rPr>
      </w:pPr>
    </w:p>
    <w:p w14:paraId="22F18727" w14:textId="77777777" w:rsidR="003A58CF" w:rsidRDefault="00000000">
      <w:pPr>
        <w:adjustRightInd w:val="0"/>
        <w:snapToGrid w:val="0"/>
        <w:spacing w:line="500" w:lineRule="exact"/>
        <w:ind w:firstLineChars="200" w:firstLine="560"/>
        <w:rPr>
          <w:rFonts w:ascii="黑体" w:eastAsia="黑体" w:hAnsi="黑体" w:hint="eastAsia"/>
          <w:bCs/>
          <w:sz w:val="28"/>
          <w:szCs w:val="28"/>
        </w:rPr>
      </w:pPr>
      <w:r>
        <w:rPr>
          <w:rFonts w:ascii="黑体" w:eastAsia="黑体" w:hAnsi="黑体" w:hint="eastAsia"/>
          <w:bCs/>
          <w:sz w:val="28"/>
          <w:szCs w:val="28"/>
        </w:rPr>
        <w:t>四、参考教材</w:t>
      </w:r>
    </w:p>
    <w:p w14:paraId="26DA9752"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电子商务专业课程改革成果教材《商品仓储物流》、《网络营销》和《网店开设》（浙江省教育厅职成教教研室组编，于丽娟主编，高等教育出版社）。</w:t>
      </w:r>
    </w:p>
    <w:p w14:paraId="2AEBE873" w14:textId="77777777" w:rsidR="003A58CF" w:rsidRDefault="00000000">
      <w:pPr>
        <w:adjustRightInd w:val="0"/>
        <w:snapToGrid w:val="0"/>
        <w:spacing w:line="500" w:lineRule="exact"/>
        <w:ind w:firstLineChars="200" w:firstLine="560"/>
        <w:rPr>
          <w:rFonts w:ascii="黑体" w:eastAsia="黑体" w:hAnsi="黑体" w:hint="eastAsia"/>
          <w:bCs/>
          <w:sz w:val="28"/>
          <w:szCs w:val="28"/>
        </w:rPr>
      </w:pPr>
      <w:r>
        <w:rPr>
          <w:rFonts w:ascii="黑体" w:eastAsia="黑体" w:hAnsi="黑体" w:hint="eastAsia"/>
          <w:bCs/>
          <w:sz w:val="28"/>
          <w:szCs w:val="28"/>
        </w:rPr>
        <w:t>五、考试内容与要求</w:t>
      </w:r>
    </w:p>
    <w:p w14:paraId="37415E7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（一）本考纲在考试内容和具体要求中，提出了四个认知能力层次的要求，即了解、理解、掌握、运用。</w:t>
      </w:r>
    </w:p>
    <w:p w14:paraId="61D0E6A5"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（二）考试内容</w:t>
      </w:r>
    </w:p>
    <w:p w14:paraId="262D40BA" w14:textId="77777777" w:rsidR="003A58CF" w:rsidRDefault="00000000">
      <w:pPr>
        <w:adjustRightInd w:val="0"/>
        <w:snapToGrid w:val="0"/>
        <w:spacing w:line="500" w:lineRule="exact"/>
        <w:ind w:firstLineChars="200" w:firstLine="562"/>
        <w:jc w:val="center"/>
        <w:rPr>
          <w:rFonts w:ascii="宋体" w:hAnsi="宋体" w:hint="eastAsia"/>
          <w:bCs/>
          <w:sz w:val="28"/>
          <w:szCs w:val="28"/>
        </w:rPr>
      </w:pPr>
      <w:r>
        <w:rPr>
          <w:rFonts w:ascii="宋体" w:hAnsi="宋体" w:hint="eastAsia"/>
          <w:b/>
          <w:sz w:val="28"/>
          <w:szCs w:val="28"/>
        </w:rPr>
        <w:t>《商品仓储与物流》</w:t>
      </w:r>
    </w:p>
    <w:p w14:paraId="3118F1EB"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项目1 接单与分类整理</w:t>
      </w:r>
    </w:p>
    <w:p w14:paraId="25058FC0"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1.了解到库商品的接单、卸货、审核等收货作业流程</w:t>
      </w:r>
    </w:p>
    <w:p w14:paraId="6168883F"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2.掌握商品运输包装标志</w:t>
      </w:r>
    </w:p>
    <w:p w14:paraId="023FCE6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3.理解商品的基本分类</w:t>
      </w:r>
    </w:p>
    <w:p w14:paraId="64DD0B85" w14:textId="77777777" w:rsidR="003A58CF" w:rsidRDefault="00000000">
      <w:pPr>
        <w:adjustRightInd w:val="0"/>
        <w:snapToGrid w:val="0"/>
        <w:spacing w:line="500" w:lineRule="exact"/>
        <w:ind w:firstLineChars="200" w:firstLine="560"/>
        <w:rPr>
          <w:rFonts w:ascii="宋体" w:hAnsi="宋体" w:hint="eastAsia"/>
          <w:b/>
          <w:sz w:val="28"/>
          <w:szCs w:val="28"/>
        </w:rPr>
      </w:pPr>
      <w:r>
        <w:rPr>
          <w:rFonts w:ascii="宋体" w:hAnsi="宋体" w:hint="eastAsia"/>
          <w:bCs/>
          <w:sz w:val="28"/>
          <w:szCs w:val="28"/>
        </w:rPr>
        <w:t>4.掌握仓库货架货位的编码</w:t>
      </w:r>
    </w:p>
    <w:p w14:paraId="0F0FD493" w14:textId="77777777" w:rsidR="003A58CF" w:rsidRDefault="00000000">
      <w:pPr>
        <w:adjustRightInd w:val="0"/>
        <w:snapToGrid w:val="0"/>
        <w:spacing w:line="500" w:lineRule="exact"/>
        <w:ind w:firstLineChars="200" w:firstLine="562"/>
        <w:rPr>
          <w:rFonts w:ascii="宋体" w:hAnsi="宋体" w:hint="eastAsia"/>
          <w:bCs/>
          <w:sz w:val="28"/>
          <w:szCs w:val="28"/>
        </w:rPr>
      </w:pPr>
      <w:r>
        <w:rPr>
          <w:rFonts w:ascii="宋体" w:hAnsi="宋体" w:hint="eastAsia"/>
          <w:b/>
          <w:sz w:val="28"/>
          <w:szCs w:val="28"/>
        </w:rPr>
        <w:t>项目2 验收与入库上架</w:t>
      </w:r>
    </w:p>
    <w:p w14:paraId="6D5ABB0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lastRenderedPageBreak/>
        <w:t>1.掌握商品检验的抽样方法</w:t>
      </w:r>
    </w:p>
    <w:p w14:paraId="4CC6F60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2.掌握商品鉴定的基本方法</w:t>
      </w:r>
    </w:p>
    <w:p w14:paraId="07D87030"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3.了解货物入库验收的基本要求</w:t>
      </w:r>
    </w:p>
    <w:p w14:paraId="1554A387"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4.了解货物堆码的方法</w:t>
      </w:r>
    </w:p>
    <w:p w14:paraId="6B122D75" w14:textId="77777777" w:rsidR="003A58CF" w:rsidRDefault="00000000">
      <w:pPr>
        <w:adjustRightInd w:val="0"/>
        <w:snapToGrid w:val="0"/>
        <w:spacing w:line="500" w:lineRule="exact"/>
        <w:ind w:firstLineChars="200" w:firstLine="560"/>
        <w:rPr>
          <w:rFonts w:ascii="宋体" w:hAnsi="宋体" w:hint="eastAsia"/>
          <w:b/>
          <w:sz w:val="28"/>
          <w:szCs w:val="28"/>
        </w:rPr>
      </w:pPr>
      <w:r>
        <w:rPr>
          <w:rFonts w:ascii="宋体" w:hAnsi="宋体" w:hint="eastAsia"/>
          <w:bCs/>
          <w:sz w:val="28"/>
          <w:szCs w:val="28"/>
        </w:rPr>
        <w:t>5.掌握货物上架的基本原则</w:t>
      </w:r>
    </w:p>
    <w:p w14:paraId="3366E348" w14:textId="77777777" w:rsidR="003A58CF" w:rsidRDefault="00000000">
      <w:pPr>
        <w:adjustRightInd w:val="0"/>
        <w:snapToGrid w:val="0"/>
        <w:spacing w:line="500" w:lineRule="exact"/>
        <w:ind w:firstLineChars="200" w:firstLine="562"/>
        <w:rPr>
          <w:rFonts w:ascii="宋体" w:hAnsi="宋体" w:hint="eastAsia"/>
          <w:bCs/>
          <w:sz w:val="28"/>
          <w:szCs w:val="28"/>
        </w:rPr>
      </w:pPr>
      <w:r>
        <w:rPr>
          <w:rFonts w:ascii="宋体" w:hAnsi="宋体" w:hint="eastAsia"/>
          <w:b/>
          <w:sz w:val="28"/>
          <w:szCs w:val="28"/>
        </w:rPr>
        <w:t>项目3 盘点与耗损管理</w:t>
      </w:r>
    </w:p>
    <w:p w14:paraId="0D2A0BB7"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1.了解商品盘点作业基本流程</w:t>
      </w:r>
    </w:p>
    <w:p w14:paraId="211014B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2.了解商品盘点的基本方法</w:t>
      </w:r>
    </w:p>
    <w:p w14:paraId="00F6A066"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3.理解盘点差异的原因</w:t>
      </w:r>
    </w:p>
    <w:p w14:paraId="1074113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4.了解仓储损耗的类型</w:t>
      </w:r>
    </w:p>
    <w:p w14:paraId="4FC5529B"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5.掌握影响仓储货物质量的因素</w:t>
      </w:r>
    </w:p>
    <w:p w14:paraId="5FFEF1AA"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6.了解仓储货物养护的方法</w:t>
      </w:r>
    </w:p>
    <w:p w14:paraId="5289F7C0"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项目5 包装与发货准备</w:t>
      </w:r>
    </w:p>
    <w:p w14:paraId="11F2574C"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1.了解包装发货的基本作业流程</w:t>
      </w:r>
    </w:p>
    <w:p w14:paraId="190BAA3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2.了解包装的类型及用途</w:t>
      </w:r>
    </w:p>
    <w:p w14:paraId="6F8DF53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3.理解常用内包装材料及其选择</w:t>
      </w:r>
    </w:p>
    <w:p w14:paraId="34062FA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4.理解常用的外包装材料</w:t>
      </w:r>
    </w:p>
    <w:p w14:paraId="6C5E00BD"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5.理解包装的标准化</w:t>
      </w:r>
    </w:p>
    <w:p w14:paraId="6D4F36E9" w14:textId="77777777" w:rsidR="003A58CF" w:rsidRDefault="00000000">
      <w:pPr>
        <w:adjustRightInd w:val="0"/>
        <w:snapToGrid w:val="0"/>
        <w:spacing w:line="500" w:lineRule="exact"/>
        <w:ind w:firstLineChars="200" w:firstLine="562"/>
        <w:rPr>
          <w:rFonts w:ascii="宋体" w:hAnsi="宋体" w:hint="eastAsia"/>
          <w:bCs/>
          <w:sz w:val="28"/>
          <w:szCs w:val="28"/>
        </w:rPr>
      </w:pPr>
      <w:r>
        <w:rPr>
          <w:rFonts w:ascii="宋体" w:hAnsi="宋体" w:hint="eastAsia"/>
          <w:b/>
          <w:sz w:val="28"/>
          <w:szCs w:val="28"/>
        </w:rPr>
        <w:t>项目6 退换货产品处理</w:t>
      </w:r>
    </w:p>
    <w:p w14:paraId="12FA8A59"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1.了解退换货的单货核对与检验</w:t>
      </w:r>
    </w:p>
    <w:p w14:paraId="309A3BF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2.了解影响商品二次销售的情况</w:t>
      </w:r>
    </w:p>
    <w:p w14:paraId="27FC59F0" w14:textId="77777777" w:rsidR="003A58CF" w:rsidRDefault="00000000">
      <w:pPr>
        <w:adjustRightInd w:val="0"/>
        <w:snapToGrid w:val="0"/>
        <w:spacing w:line="500" w:lineRule="exact"/>
        <w:ind w:firstLineChars="200" w:firstLine="560"/>
        <w:rPr>
          <w:rFonts w:ascii="宋体" w:hAnsi="宋体" w:hint="eastAsia"/>
          <w:b/>
          <w:sz w:val="28"/>
          <w:szCs w:val="28"/>
        </w:rPr>
      </w:pPr>
      <w:r>
        <w:rPr>
          <w:rFonts w:ascii="宋体" w:hAnsi="宋体" w:hint="eastAsia"/>
          <w:bCs/>
          <w:sz w:val="28"/>
          <w:szCs w:val="28"/>
        </w:rPr>
        <w:t>3.理解退换货产品的分类</w:t>
      </w:r>
    </w:p>
    <w:p w14:paraId="17131DCA" w14:textId="77777777" w:rsidR="003A58CF" w:rsidRDefault="003A58CF">
      <w:pPr>
        <w:adjustRightInd w:val="0"/>
        <w:snapToGrid w:val="0"/>
        <w:spacing w:line="500" w:lineRule="exact"/>
        <w:jc w:val="center"/>
        <w:rPr>
          <w:rFonts w:ascii="宋体" w:hAnsi="宋体" w:hint="eastAsia"/>
          <w:b/>
          <w:sz w:val="28"/>
          <w:szCs w:val="28"/>
        </w:rPr>
      </w:pPr>
    </w:p>
    <w:p w14:paraId="536A7A71" w14:textId="77777777" w:rsidR="003A58CF" w:rsidRDefault="00000000">
      <w:pPr>
        <w:adjustRightInd w:val="0"/>
        <w:snapToGrid w:val="0"/>
        <w:spacing w:line="500" w:lineRule="exact"/>
        <w:jc w:val="center"/>
        <w:rPr>
          <w:rFonts w:ascii="宋体" w:hAnsi="宋体" w:hint="eastAsia"/>
          <w:b/>
          <w:sz w:val="28"/>
          <w:szCs w:val="28"/>
        </w:rPr>
      </w:pPr>
      <w:r>
        <w:rPr>
          <w:rFonts w:ascii="宋体" w:hAnsi="宋体" w:hint="eastAsia"/>
          <w:b/>
          <w:sz w:val="28"/>
          <w:szCs w:val="28"/>
        </w:rPr>
        <w:t>《网络营销》</w:t>
      </w:r>
    </w:p>
    <w:p w14:paraId="36E81366"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项目6 软文营销</w:t>
      </w:r>
    </w:p>
    <w:p w14:paraId="003CFB70" w14:textId="77777777" w:rsidR="003A58CF" w:rsidRDefault="00000000">
      <w:pPr>
        <w:adjustRightInd w:val="0"/>
        <w:snapToGrid w:val="0"/>
        <w:spacing w:line="500" w:lineRule="exact"/>
        <w:ind w:firstLineChars="200" w:firstLine="560"/>
        <w:rPr>
          <w:rFonts w:ascii="宋体" w:hAnsi="宋体" w:hint="eastAsia"/>
          <w:bCs/>
          <w:sz w:val="28"/>
          <w:szCs w:val="28"/>
          <w:lang w:val="zh-CN"/>
        </w:rPr>
      </w:pPr>
      <w:r>
        <w:rPr>
          <w:rFonts w:ascii="宋体" w:hAnsi="宋体" w:hint="eastAsia"/>
          <w:bCs/>
          <w:sz w:val="28"/>
          <w:szCs w:val="28"/>
        </w:rPr>
        <w:t>1.理解</w:t>
      </w:r>
      <w:r>
        <w:rPr>
          <w:rFonts w:ascii="宋体" w:hAnsi="宋体" w:hint="eastAsia"/>
          <w:bCs/>
          <w:sz w:val="28"/>
          <w:szCs w:val="28"/>
          <w:lang w:val="zh-CN"/>
        </w:rPr>
        <w:t>软文营销的概念、优势</w:t>
      </w:r>
      <w:r>
        <w:rPr>
          <w:rFonts w:ascii="宋体" w:hAnsi="宋体" w:hint="eastAsia"/>
          <w:bCs/>
          <w:sz w:val="28"/>
          <w:szCs w:val="28"/>
        </w:rPr>
        <w:t>与</w:t>
      </w:r>
      <w:r>
        <w:rPr>
          <w:rFonts w:ascii="宋体" w:hAnsi="宋体" w:hint="eastAsia"/>
          <w:bCs/>
          <w:sz w:val="28"/>
          <w:szCs w:val="28"/>
          <w:lang w:val="zh-CN"/>
        </w:rPr>
        <w:t>作用</w:t>
      </w:r>
    </w:p>
    <w:p w14:paraId="3E86A0D3"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2.理解</w:t>
      </w:r>
      <w:r>
        <w:rPr>
          <w:rFonts w:ascii="宋体" w:hAnsi="宋体" w:hint="eastAsia"/>
          <w:bCs/>
          <w:sz w:val="28"/>
          <w:szCs w:val="28"/>
          <w:lang w:val="zh-CN"/>
        </w:rPr>
        <w:t>软文营销五部曲</w:t>
      </w:r>
    </w:p>
    <w:p w14:paraId="4DD48DC7"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lastRenderedPageBreak/>
        <w:t>3.掌握软文创意训练法</w:t>
      </w:r>
    </w:p>
    <w:p w14:paraId="6E4FEC53" w14:textId="77777777" w:rsidR="003A58CF" w:rsidRDefault="00000000">
      <w:pPr>
        <w:adjustRightInd w:val="0"/>
        <w:snapToGrid w:val="0"/>
        <w:spacing w:line="500" w:lineRule="exact"/>
        <w:ind w:firstLineChars="200" w:firstLine="560"/>
        <w:rPr>
          <w:rFonts w:ascii="宋体" w:hAnsi="宋体" w:hint="eastAsia"/>
          <w:bCs/>
          <w:sz w:val="28"/>
          <w:szCs w:val="28"/>
          <w:lang w:val="zh-CN"/>
        </w:rPr>
      </w:pPr>
      <w:r>
        <w:rPr>
          <w:rFonts w:ascii="宋体" w:hAnsi="宋体" w:hint="eastAsia"/>
          <w:bCs/>
          <w:sz w:val="28"/>
          <w:szCs w:val="28"/>
        </w:rPr>
        <w:t>4.了</w:t>
      </w:r>
      <w:r>
        <w:rPr>
          <w:rFonts w:ascii="宋体" w:hAnsi="宋体" w:hint="eastAsia"/>
          <w:bCs/>
          <w:sz w:val="28"/>
          <w:szCs w:val="28"/>
          <w:lang w:val="zh-CN"/>
        </w:rPr>
        <w:t>解</w:t>
      </w:r>
      <w:r>
        <w:rPr>
          <w:rFonts w:ascii="宋体" w:hAnsi="宋体" w:hint="eastAsia"/>
          <w:bCs/>
          <w:sz w:val="28"/>
          <w:szCs w:val="28"/>
        </w:rPr>
        <w:t>软文评估常用的指标和</w:t>
      </w:r>
      <w:r>
        <w:rPr>
          <w:rFonts w:ascii="宋体" w:hAnsi="宋体" w:hint="eastAsia"/>
          <w:bCs/>
          <w:sz w:val="28"/>
          <w:szCs w:val="28"/>
          <w:lang w:val="zh-CN"/>
        </w:rPr>
        <w:t>优</w:t>
      </w:r>
      <w:r>
        <w:rPr>
          <w:rFonts w:ascii="宋体" w:hAnsi="宋体" w:hint="eastAsia"/>
          <w:bCs/>
          <w:sz w:val="28"/>
          <w:szCs w:val="28"/>
        </w:rPr>
        <w:t>秀软文四要素</w:t>
      </w:r>
    </w:p>
    <w:p w14:paraId="0B2A0E9D"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5.掌握软文撰写</w:t>
      </w:r>
    </w:p>
    <w:p w14:paraId="677F443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6.了解淘宝店常用软文发布平台</w:t>
      </w:r>
    </w:p>
    <w:p w14:paraId="18691879"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7.能根据营销目标撰写符合要求的软文</w:t>
      </w:r>
    </w:p>
    <w:p w14:paraId="12DCA4AA"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项目7 微信营销</w:t>
      </w:r>
    </w:p>
    <w:p w14:paraId="35A5C4E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1.掌握公众号的注册流程和注意事项</w:t>
      </w:r>
    </w:p>
    <w:p w14:paraId="337FC622"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2.掌握公众号平台的分类及公众号吸粉的方法</w:t>
      </w:r>
    </w:p>
    <w:p w14:paraId="47E0D5A0"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3.了解微信号注册及朋友圈营销注意事项</w:t>
      </w:r>
    </w:p>
    <w:p w14:paraId="17703BB6"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4.掌握微信好友添加的方法。</w:t>
      </w:r>
    </w:p>
    <w:p w14:paraId="47AF6DC3"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5.理解微信正文撰写的排版与注意事项、标题拟定满足的心理需求</w:t>
      </w:r>
    </w:p>
    <w:p w14:paraId="3012B7F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6.掌握微信软文撰写五步骤、微信软文的特点</w:t>
      </w:r>
    </w:p>
    <w:p w14:paraId="59286EAC"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7.了解二维码应用场景与设计注意事项</w:t>
      </w:r>
    </w:p>
    <w:p w14:paraId="7F2AA48E"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项目8 邮件营销</w:t>
      </w:r>
    </w:p>
    <w:p w14:paraId="21F7E74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1.理解电子邮件营销的分类、电子邮件地址的构成</w:t>
      </w:r>
    </w:p>
    <w:p w14:paraId="3E6F7245"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2.理解邮件列表含义、类型和作用</w:t>
      </w:r>
    </w:p>
    <w:p w14:paraId="547F89BF"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3.掌握电子邮件标题与内容设计的要点</w:t>
      </w:r>
    </w:p>
    <w:p w14:paraId="3BD44592"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4.了解HTML邮件的优势</w:t>
      </w:r>
    </w:p>
    <w:p w14:paraId="597DBC11"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w:t>
      </w:r>
      <w:r>
        <w:rPr>
          <w:rFonts w:ascii="宋体" w:hAnsi="宋体"/>
          <w:bCs/>
          <w:sz w:val="28"/>
          <w:szCs w:val="28"/>
        </w:rPr>
        <w:t>能根据产品来分析受众</w:t>
      </w:r>
    </w:p>
    <w:p w14:paraId="47A4C3B3"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项目9 论坛营销</w:t>
      </w:r>
    </w:p>
    <w:p w14:paraId="16F4769B"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1.掌握论坛营销的含义及优势</w:t>
      </w:r>
    </w:p>
    <w:p w14:paraId="3B76E436"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2.了解论坛营销组合策略的含义</w:t>
      </w:r>
    </w:p>
    <w:p w14:paraId="5B1DC58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3.理解论坛的种类</w:t>
      </w:r>
    </w:p>
    <w:p w14:paraId="202FCB0C"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4.掌握帖子标题的写法和内容设计的注意事项</w:t>
      </w:r>
    </w:p>
    <w:p w14:paraId="648D60A0"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5.能分析论坛营销受众</w:t>
      </w:r>
    </w:p>
    <w:p w14:paraId="1EC0CF17"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6.能撰写论坛营销帖子，并进行跟帖和回帖操作</w:t>
      </w:r>
    </w:p>
    <w:p w14:paraId="65D56D96" w14:textId="77777777" w:rsidR="003A58CF" w:rsidRDefault="00000000">
      <w:pPr>
        <w:adjustRightInd w:val="0"/>
        <w:snapToGrid w:val="0"/>
        <w:spacing w:line="500" w:lineRule="exact"/>
        <w:ind w:firstLineChars="200" w:firstLine="562"/>
        <w:jc w:val="center"/>
        <w:rPr>
          <w:rFonts w:ascii="宋体" w:hAnsi="宋体" w:hint="eastAsia"/>
          <w:b/>
          <w:sz w:val="28"/>
          <w:szCs w:val="28"/>
        </w:rPr>
      </w:pPr>
      <w:r>
        <w:rPr>
          <w:rFonts w:ascii="宋体" w:hAnsi="宋体" w:hint="eastAsia"/>
          <w:b/>
          <w:sz w:val="28"/>
          <w:szCs w:val="28"/>
        </w:rPr>
        <w:lastRenderedPageBreak/>
        <w:t>《网店开设》</w:t>
      </w:r>
    </w:p>
    <w:p w14:paraId="47D9F13A"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项目1 网店准备</w:t>
      </w:r>
    </w:p>
    <w:p w14:paraId="0F0820D4"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1.理解分析竞争对手的步骤</w:t>
      </w:r>
    </w:p>
    <w:p w14:paraId="45E027ED"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2.理解挑选优势商品的步骤</w:t>
      </w:r>
    </w:p>
    <w:p w14:paraId="436890C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3.了解稳定优质的货源</w:t>
      </w:r>
    </w:p>
    <w:p w14:paraId="1D88034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4.会利用市场营销、网络营销工具分析目标市场和竞争对手</w:t>
      </w:r>
    </w:p>
    <w:p w14:paraId="05F2AFD6"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5.能分析商品特征挑选出优势商品</w:t>
      </w:r>
    </w:p>
    <w:p w14:paraId="4A504D94" w14:textId="77777777" w:rsidR="003A58CF" w:rsidRDefault="00000000">
      <w:pPr>
        <w:adjustRightInd w:val="0"/>
        <w:snapToGrid w:val="0"/>
        <w:spacing w:line="500" w:lineRule="exact"/>
        <w:ind w:firstLineChars="200" w:firstLine="562"/>
        <w:rPr>
          <w:rFonts w:ascii="宋体" w:hAnsi="宋体" w:hint="eastAsia"/>
          <w:bCs/>
          <w:sz w:val="28"/>
          <w:szCs w:val="28"/>
        </w:rPr>
      </w:pPr>
      <w:r>
        <w:rPr>
          <w:rFonts w:ascii="宋体" w:hAnsi="宋体" w:hint="eastAsia"/>
          <w:b/>
          <w:sz w:val="28"/>
          <w:szCs w:val="28"/>
        </w:rPr>
        <w:t>项目2  网店认证</w:t>
      </w:r>
    </w:p>
    <w:p w14:paraId="05BD0062"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1.了解淘宝注册准备</w:t>
      </w:r>
    </w:p>
    <w:p w14:paraId="3EC46C5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2.掌握支付宝绑定信息及手机端支付宝安全防护</w:t>
      </w:r>
    </w:p>
    <w:p w14:paraId="107E37E7"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3.了解淘宝开店认证方式及企业账户与个人账户的区别</w:t>
      </w:r>
    </w:p>
    <w:p w14:paraId="55336605"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4.掌握店铺的基础设置</w:t>
      </w:r>
    </w:p>
    <w:p w14:paraId="2FDDA423"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5.能注册淘宝会员名</w:t>
      </w:r>
    </w:p>
    <w:p w14:paraId="64EE8FC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6.会设置店铺信息</w:t>
      </w:r>
    </w:p>
    <w:p w14:paraId="2F0EC6EC" w14:textId="77777777" w:rsidR="003A58CF" w:rsidRDefault="00000000">
      <w:pPr>
        <w:adjustRightInd w:val="0"/>
        <w:snapToGrid w:val="0"/>
        <w:spacing w:line="500" w:lineRule="exact"/>
        <w:ind w:firstLineChars="200" w:firstLine="562"/>
        <w:rPr>
          <w:rFonts w:ascii="宋体" w:hAnsi="宋体" w:hint="eastAsia"/>
          <w:bCs/>
          <w:sz w:val="28"/>
          <w:szCs w:val="28"/>
        </w:rPr>
      </w:pPr>
      <w:r>
        <w:rPr>
          <w:rFonts w:ascii="宋体" w:hAnsi="宋体" w:hint="eastAsia"/>
          <w:b/>
          <w:sz w:val="28"/>
          <w:szCs w:val="28"/>
        </w:rPr>
        <w:t>项目3 网店装修</w:t>
      </w:r>
    </w:p>
    <w:p w14:paraId="64F20859"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1.掌握店铺风格的选择、店招的设计</w:t>
      </w:r>
    </w:p>
    <w:p w14:paraId="34373C83"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2.理解店铺配色技巧与方案</w:t>
      </w:r>
    </w:p>
    <w:p w14:paraId="461942EF"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3.了解店铺首页布局结构及常见首页布局形式</w:t>
      </w:r>
    </w:p>
    <w:p w14:paraId="5229A064"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4.理解店铺页面常用模块的功能及轮播图片常见用途</w:t>
      </w:r>
    </w:p>
    <w:p w14:paraId="21FB06C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5.了解常见的首屏格局形式及店铺页尾设计</w:t>
      </w:r>
    </w:p>
    <w:p w14:paraId="3640C495"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6.能设置合适的模板配色和页面背景</w:t>
      </w:r>
    </w:p>
    <w:p w14:paraId="6DC2675C"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7.能对店铺页面进行合理的布局设计</w:t>
      </w:r>
    </w:p>
    <w:p w14:paraId="56042F74"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8.会进行编辑装修模块</w:t>
      </w:r>
    </w:p>
    <w:p w14:paraId="799D58DE" w14:textId="77777777" w:rsidR="003A58CF" w:rsidRDefault="00000000">
      <w:pPr>
        <w:adjustRightInd w:val="0"/>
        <w:snapToGrid w:val="0"/>
        <w:spacing w:line="500" w:lineRule="exact"/>
        <w:ind w:firstLineChars="200" w:firstLine="562"/>
        <w:rPr>
          <w:rFonts w:ascii="宋体" w:hAnsi="宋体" w:hint="eastAsia"/>
          <w:b/>
          <w:sz w:val="28"/>
          <w:szCs w:val="28"/>
        </w:rPr>
      </w:pPr>
      <w:r>
        <w:rPr>
          <w:rFonts w:ascii="宋体" w:hAnsi="宋体" w:hint="eastAsia"/>
          <w:b/>
          <w:sz w:val="28"/>
          <w:szCs w:val="28"/>
        </w:rPr>
        <w:t>项目4 网店开业</w:t>
      </w:r>
    </w:p>
    <w:p w14:paraId="246733C9"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1.掌握宝贝分类方法、宝贝描述的编写方法和内容</w:t>
      </w:r>
    </w:p>
    <w:p w14:paraId="263A78AB"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2.理解宝贝标题查找和编写技巧</w:t>
      </w:r>
    </w:p>
    <w:p w14:paraId="2C33F903"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3.理解宝贝主图的基本要求及上传要点</w:t>
      </w:r>
    </w:p>
    <w:p w14:paraId="60E4A71A"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lastRenderedPageBreak/>
        <w:t>4.掌握运费模板的设置</w:t>
      </w:r>
    </w:p>
    <w:p w14:paraId="3EEB876F"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5.了解物流包装要求</w:t>
      </w:r>
    </w:p>
    <w:p w14:paraId="6CB771E2"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6.会使用手工分类和自动分类进行宝贝分类</w:t>
      </w:r>
    </w:p>
    <w:p w14:paraId="5498CCA8"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7.能精确选择宝贝类目、设计宝贝标题</w:t>
      </w:r>
    </w:p>
    <w:p w14:paraId="04F0360E" w14:textId="77777777" w:rsidR="003A58CF" w:rsidRDefault="00000000">
      <w:pPr>
        <w:adjustRightInd w:val="0"/>
        <w:snapToGrid w:val="0"/>
        <w:spacing w:line="500" w:lineRule="exact"/>
        <w:ind w:firstLineChars="200" w:firstLine="560"/>
        <w:rPr>
          <w:rFonts w:ascii="宋体" w:hAnsi="宋体" w:hint="eastAsia"/>
          <w:bCs/>
          <w:sz w:val="28"/>
          <w:szCs w:val="28"/>
        </w:rPr>
      </w:pPr>
      <w:r>
        <w:rPr>
          <w:rFonts w:ascii="宋体" w:hAnsi="宋体" w:hint="eastAsia"/>
          <w:bCs/>
          <w:sz w:val="28"/>
          <w:szCs w:val="28"/>
        </w:rPr>
        <w:t>8.能编辑有吸引力的宝贝描述</w:t>
      </w:r>
    </w:p>
    <w:p w14:paraId="0E567594" w14:textId="77777777" w:rsidR="003A58CF" w:rsidRDefault="003A58CF">
      <w:pPr>
        <w:adjustRightInd w:val="0"/>
        <w:snapToGrid w:val="0"/>
        <w:spacing w:line="400" w:lineRule="exact"/>
        <w:ind w:firstLineChars="200" w:firstLine="480"/>
        <w:rPr>
          <w:rFonts w:ascii="宋体" w:hAnsi="宋体" w:hint="eastAsia"/>
          <w:bCs/>
          <w:sz w:val="24"/>
        </w:rPr>
      </w:pPr>
    </w:p>
    <w:p w14:paraId="25E974FA" w14:textId="77777777" w:rsidR="003A58CF" w:rsidRDefault="003A58CF">
      <w:pPr>
        <w:adjustRightInd w:val="0"/>
        <w:snapToGrid w:val="0"/>
        <w:spacing w:line="500" w:lineRule="exact"/>
        <w:ind w:firstLineChars="200" w:firstLine="560"/>
        <w:rPr>
          <w:rFonts w:ascii="宋体" w:hAnsi="宋体" w:hint="eastAsia"/>
          <w:bCs/>
          <w:sz w:val="28"/>
          <w:szCs w:val="28"/>
        </w:rPr>
      </w:pPr>
    </w:p>
    <w:p w14:paraId="083955DE" w14:textId="77777777" w:rsidR="003A58CF" w:rsidRDefault="003A58CF">
      <w:pPr>
        <w:adjustRightInd w:val="0"/>
        <w:snapToGrid w:val="0"/>
        <w:spacing w:line="360" w:lineRule="auto"/>
        <w:ind w:firstLineChars="1900" w:firstLine="5320"/>
        <w:rPr>
          <w:rFonts w:ascii="宋体" w:hAnsi="宋体" w:hint="eastAsia"/>
          <w:bCs/>
          <w:sz w:val="28"/>
          <w:szCs w:val="28"/>
        </w:rPr>
      </w:pPr>
    </w:p>
    <w:p w14:paraId="1A9FDE39" w14:textId="77777777" w:rsidR="003A58CF" w:rsidRDefault="003A58CF">
      <w:pPr>
        <w:adjustRightInd w:val="0"/>
        <w:snapToGrid w:val="0"/>
        <w:spacing w:line="360" w:lineRule="auto"/>
        <w:ind w:firstLineChars="1800" w:firstLine="5040"/>
        <w:rPr>
          <w:rFonts w:ascii="宋体" w:hAnsi="宋体" w:hint="eastAsia"/>
          <w:bCs/>
          <w:sz w:val="28"/>
          <w:szCs w:val="28"/>
        </w:rPr>
      </w:pPr>
    </w:p>
    <w:p w14:paraId="021CE982" w14:textId="77777777" w:rsidR="003A58CF" w:rsidRDefault="003A58CF">
      <w:pPr>
        <w:adjustRightInd w:val="0"/>
        <w:snapToGrid w:val="0"/>
        <w:spacing w:line="360" w:lineRule="auto"/>
        <w:ind w:firstLineChars="1800" w:firstLine="5040"/>
        <w:rPr>
          <w:rFonts w:ascii="宋体" w:hAnsi="宋体" w:hint="eastAsia"/>
          <w:bCs/>
          <w:sz w:val="28"/>
          <w:szCs w:val="28"/>
        </w:rPr>
      </w:pPr>
    </w:p>
    <w:p w14:paraId="2A36C791" w14:textId="77777777" w:rsidR="003A58CF" w:rsidRDefault="003A58CF">
      <w:pPr>
        <w:adjustRightInd w:val="0"/>
        <w:snapToGrid w:val="0"/>
        <w:spacing w:line="360" w:lineRule="auto"/>
        <w:ind w:firstLineChars="1800" w:firstLine="5040"/>
        <w:rPr>
          <w:rFonts w:ascii="宋体" w:hAnsi="宋体" w:hint="eastAsia"/>
          <w:bCs/>
          <w:sz w:val="28"/>
          <w:szCs w:val="28"/>
        </w:rPr>
      </w:pPr>
    </w:p>
    <w:sectPr w:rsidR="003A58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UzNjA2YmZkNDkyMGU3YTk1ZTFjNTdiYTc1ZTViNjEifQ=="/>
  </w:docVars>
  <w:rsids>
    <w:rsidRoot w:val="40052F2F"/>
    <w:rsid w:val="003A58CF"/>
    <w:rsid w:val="004A2FE9"/>
    <w:rsid w:val="005C4CBE"/>
    <w:rsid w:val="2D8B25AD"/>
    <w:rsid w:val="40052F2F"/>
    <w:rsid w:val="4F1356CE"/>
    <w:rsid w:val="7B78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4A215"/>
  <w15:docId w15:val="{0FEF312D-8046-4EAD-B070-1A0CCB45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芮 芮 芮</dc:creator>
  <cp:lastModifiedBy>hf shan</cp:lastModifiedBy>
  <cp:revision>3</cp:revision>
  <dcterms:created xsi:type="dcterms:W3CDTF">2024-12-22T15:38:00Z</dcterms:created>
  <dcterms:modified xsi:type="dcterms:W3CDTF">2024-12-22T15:38:00Z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6CAB96030B8B4846852583CE1A112377</vt:lpwstr>
  </property>
</Properties>
</file>